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color w:val="000000"/>
          <w:sz w:val="21"/>
          <w:szCs w:val="21"/>
        </w:rPr>
        <w:t>微机电系统、无线传感器网络技术、云计算技术、低功耗嵌入式技术的飞速发展，使得战场感知手段进一步朝着智能感知与信息融合处理的方向发展。美国国防部高级研究计划局</w:t>
      </w:r>
      <w:r>
        <w:rPr>
          <w:rFonts w:ascii="Calibri" w:hAnsi="Calibri" w:eastAsia="宋体" w:cs="Calibri"/>
          <w:color w:val="000000"/>
          <w:sz w:val="21"/>
          <w:szCs w:val="21"/>
        </w:rPr>
        <w:t>2015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财年中新增了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大脑皮质处理器</w:t>
      </w:r>
      <w:r>
        <w:rPr>
          <w:rFonts w:hint="default" w:ascii="Calibri" w:hAnsi="Calibri" w:eastAsia="宋体" w:cs="Calibri"/>
          <w:color w:val="000000"/>
          <w:sz w:val="21"/>
          <w:szCs w:val="21"/>
        </w:rPr>
        <w:t>”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等研发项目，未来投入应用将大幅度提高机器人、无人机、无人车和无人船的自主能力。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4CD0"/>
    <w:rsid w:val="0A602F7A"/>
    <w:rsid w:val="204C0501"/>
    <w:rsid w:val="75A90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2017-10-17T03:05:01Z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